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13" w:rsidRPr="00FA5113" w:rsidRDefault="00FA5113" w:rsidP="00FA511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1"/>
          <w:szCs w:val="21"/>
          <w:lang w:eastAsia="ru-RU"/>
        </w:rPr>
      </w:pPr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 xml:space="preserve">Ставки </w:t>
      </w:r>
      <w:proofErr w:type="spellStart"/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>податку</w:t>
      </w:r>
      <w:proofErr w:type="spellEnd"/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 xml:space="preserve"> на </w:t>
      </w:r>
      <w:proofErr w:type="spellStart"/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>нерухоме</w:t>
      </w:r>
      <w:proofErr w:type="spellEnd"/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 xml:space="preserve"> </w:t>
      </w:r>
      <w:proofErr w:type="spellStart"/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>майно</w:t>
      </w:r>
      <w:proofErr w:type="spellEnd"/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 xml:space="preserve"> у 2017 </w:t>
      </w:r>
      <w:proofErr w:type="spellStart"/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>році</w:t>
      </w:r>
      <w:proofErr w:type="spellEnd"/>
    </w:p>
    <w:p w:rsidR="00FA5113" w:rsidRPr="00FA5113" w:rsidRDefault="00FA5113" w:rsidP="00FA5113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92B2C"/>
          <w:sz w:val="21"/>
          <w:szCs w:val="21"/>
          <w:lang w:eastAsia="ru-RU"/>
        </w:rPr>
      </w:pPr>
      <w:r w:rsidRPr="00FA5113">
        <w:rPr>
          <w:rFonts w:ascii="Arial" w:eastAsia="Times New Roman" w:hAnsi="Arial" w:cs="Arial"/>
          <w:color w:val="292B2C"/>
          <w:sz w:val="21"/>
          <w:szCs w:val="21"/>
          <w:lang w:eastAsia="ru-RU"/>
        </w:rPr>
        <w:t> </w:t>
      </w:r>
    </w:p>
    <w:tbl>
      <w:tblPr>
        <w:tblW w:w="9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5"/>
      </w:tblGrid>
      <w:tr w:rsidR="00FA5113" w:rsidRPr="00FA5113" w:rsidTr="00FA5113">
        <w:trPr>
          <w:trHeight w:val="195"/>
        </w:trPr>
        <w:tc>
          <w:tcPr>
            <w:tcW w:w="907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фізичні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 xml:space="preserve"> особи– </w:t>
            </w:r>
            <w:proofErr w:type="spellStart"/>
            <w:proofErr w:type="gramStart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гр</w:t>
            </w:r>
            <w:proofErr w:type="gramEnd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омадяни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 </w:t>
            </w:r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 xml:space="preserve">– за 2016 </w:t>
            </w:r>
            <w:proofErr w:type="spellStart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ріку</w:t>
            </w:r>
            <w:proofErr w:type="spellEnd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відсотках</w:t>
            </w:r>
            <w:proofErr w:type="spellEnd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 xml:space="preserve"> до </w:t>
            </w:r>
            <w:proofErr w:type="spellStart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мін</w:t>
            </w:r>
            <w:proofErr w:type="spellEnd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 xml:space="preserve">. </w:t>
            </w:r>
            <w:proofErr w:type="spellStart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з</w:t>
            </w:r>
            <w:proofErr w:type="spellEnd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/</w:t>
            </w:r>
            <w:proofErr w:type="spellStart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п</w:t>
            </w:r>
            <w:proofErr w:type="spellEnd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 xml:space="preserve"> 1378 грн.</w:t>
            </w:r>
          </w:p>
        </w:tc>
      </w:tr>
      <w:tr w:rsidR="00FA5113" w:rsidRPr="00FA5113" w:rsidTr="00FA5113">
        <w:trPr>
          <w:trHeight w:val="1905"/>
        </w:trPr>
        <w:tc>
          <w:tcPr>
            <w:tcW w:w="907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житлова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– 0,5% (6,89 грн.)</w:t>
            </w:r>
          </w:p>
          <w:p w:rsidR="00FA5113" w:rsidRPr="00FA5113" w:rsidRDefault="00FA5113" w:rsidP="00FA5113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(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квартири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до 60 м²,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будинки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до 120 м², </w:t>
            </w:r>
            <w:proofErr w:type="spellStart"/>
            <w:proofErr w:type="gram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</w:t>
            </w:r>
            <w:proofErr w:type="gram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ізні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типи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до 180 м² – 0%);</w:t>
            </w:r>
          </w:p>
          <w:p w:rsidR="00FA5113" w:rsidRPr="00FA5113" w:rsidRDefault="00FA5113" w:rsidP="00FA5113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 </w:t>
            </w:r>
          </w:p>
          <w:p w:rsidR="00FA5113" w:rsidRPr="00FA5113" w:rsidRDefault="00FA5113" w:rsidP="00FA511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фізичні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 xml:space="preserve"> особи – </w:t>
            </w:r>
            <w:proofErr w:type="spellStart"/>
            <w:proofErr w:type="gramStart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п</w:t>
            </w:r>
            <w:proofErr w:type="gramEnd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ідприємці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 </w:t>
            </w:r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 xml:space="preserve">– у 2017 </w:t>
            </w:r>
            <w:proofErr w:type="spellStart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роціу</w:t>
            </w:r>
            <w:proofErr w:type="spellEnd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відсотках</w:t>
            </w:r>
            <w:proofErr w:type="spellEnd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 xml:space="preserve"> до </w:t>
            </w:r>
            <w:proofErr w:type="spellStart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мін</w:t>
            </w:r>
            <w:proofErr w:type="spellEnd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 xml:space="preserve">. </w:t>
            </w:r>
            <w:proofErr w:type="spellStart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з</w:t>
            </w:r>
            <w:proofErr w:type="spellEnd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/</w:t>
            </w:r>
            <w:proofErr w:type="spellStart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п</w:t>
            </w:r>
            <w:proofErr w:type="spellEnd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 xml:space="preserve"> 3200 грн.</w:t>
            </w:r>
          </w:p>
          <w:p w:rsidR="00FA5113" w:rsidRPr="00FA5113" w:rsidRDefault="00FA5113" w:rsidP="00FA5113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нежитлова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комерційного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призначення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– 1% (32,00 грн.)</w:t>
            </w:r>
          </w:p>
        </w:tc>
      </w:tr>
      <w:tr w:rsidR="00FA5113" w:rsidRPr="00FA5113" w:rsidTr="00FA5113">
        <w:trPr>
          <w:trHeight w:val="255"/>
        </w:trPr>
        <w:tc>
          <w:tcPr>
            <w:tcW w:w="907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юридичні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 xml:space="preserve"> особи</w:t>
            </w:r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– </w:t>
            </w:r>
            <w:proofErr w:type="gramStart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 xml:space="preserve">у </w:t>
            </w:r>
            <w:proofErr w:type="gramEnd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 xml:space="preserve">2017 </w:t>
            </w:r>
            <w:proofErr w:type="spellStart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роціу</w:t>
            </w:r>
            <w:proofErr w:type="spellEnd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відсотках</w:t>
            </w:r>
            <w:proofErr w:type="spellEnd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 xml:space="preserve"> до </w:t>
            </w:r>
            <w:proofErr w:type="spellStart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мін</w:t>
            </w:r>
            <w:proofErr w:type="spellEnd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 xml:space="preserve">. </w:t>
            </w:r>
            <w:proofErr w:type="spellStart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з</w:t>
            </w:r>
            <w:proofErr w:type="spellEnd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/</w:t>
            </w:r>
            <w:proofErr w:type="spellStart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>п</w:t>
            </w:r>
            <w:proofErr w:type="spellEnd"/>
            <w:r w:rsidRPr="00FA5113">
              <w:rPr>
                <w:rFonts w:ascii="Arial" w:eastAsia="Times New Roman" w:hAnsi="Arial" w:cs="Arial"/>
                <w:i/>
                <w:iCs/>
                <w:color w:val="292B2C"/>
                <w:sz w:val="21"/>
                <w:lang w:eastAsia="ru-RU"/>
              </w:rPr>
              <w:t xml:space="preserve"> 3200 грн.</w:t>
            </w:r>
          </w:p>
        </w:tc>
      </w:tr>
      <w:tr w:rsidR="00FA5113" w:rsidRPr="00FA5113" w:rsidTr="00FA5113">
        <w:trPr>
          <w:trHeight w:val="1845"/>
        </w:trPr>
        <w:tc>
          <w:tcPr>
            <w:tcW w:w="907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житлова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нежитлова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:</w:t>
            </w:r>
          </w:p>
          <w:p w:rsidR="00FA5113" w:rsidRPr="00FA5113" w:rsidRDefault="00FA5113" w:rsidP="00FA5113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proofErr w:type="gramStart"/>
            <w:r w:rsidRPr="00FA5113">
              <w:rPr>
                <w:rFonts w:ascii="Arial" w:eastAsia="Times New Roman" w:hAnsi="Arial" w:cs="Arial"/>
                <w:b/>
                <w:bCs/>
                <w:color w:val="292B2C"/>
                <w:sz w:val="21"/>
                <w:lang w:eastAsia="ru-RU"/>
              </w:rPr>
              <w:t>центральна</w:t>
            </w:r>
            <w:proofErr w:type="gramEnd"/>
            <w:r w:rsidRPr="00FA5113">
              <w:rPr>
                <w:rFonts w:ascii="Arial" w:eastAsia="Times New Roman" w:hAnsi="Arial" w:cs="Arial"/>
                <w:b/>
                <w:bCs/>
                <w:color w:val="292B2C"/>
                <w:sz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b/>
                <w:bCs/>
                <w:color w:val="292B2C"/>
                <w:sz w:val="21"/>
                <w:lang w:eastAsia="ru-RU"/>
              </w:rPr>
              <w:t>частина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color w:val="292B2C"/>
                <w:sz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b/>
                <w:bCs/>
                <w:color w:val="292B2C"/>
                <w:sz w:val="21"/>
                <w:lang w:eastAsia="ru-RU"/>
              </w:rPr>
              <w:t>міста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 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обмежена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вулицями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: </w:t>
            </w:r>
            <w:proofErr w:type="spellStart"/>
            <w:proofErr w:type="gram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Східна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перехрестя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вул.</w:t>
            </w:r>
            <w:proofErr w:type="gram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Східної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Домбровської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) вул.</w:t>
            </w:r>
            <w:proofErr w:type="gram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Домбровського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вул.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Хлібна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вул.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Л.Українки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пров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. Пивоварений, вул.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Ольжича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вул. Перемоги, через майдан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Соборний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вул. Леха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Качинського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пров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. 4-Чуднівський, по берегу </w:t>
            </w:r>
            <w:proofErr w:type="spellStart"/>
            <w:proofErr w:type="gram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</w:t>
            </w:r>
            <w:proofErr w:type="gram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ічки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Тетерів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до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перехрестя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вул.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Шевченка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та вул.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Робітничої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вул.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Робітнича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вул. </w:t>
            </w:r>
            <w:proofErr w:type="spellStart"/>
            <w:proofErr w:type="gram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Довженка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(до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перехрестя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вул.</w:t>
            </w:r>
            <w:proofErr w:type="gram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Довженка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Східної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) вул.</w:t>
            </w:r>
            <w:proofErr w:type="gram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Східна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до вул.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Домбровського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– </w:t>
            </w:r>
            <w:r w:rsidRPr="00FA5113">
              <w:rPr>
                <w:rFonts w:ascii="Arial" w:eastAsia="Times New Roman" w:hAnsi="Arial" w:cs="Arial"/>
                <w:b/>
                <w:bCs/>
                <w:color w:val="292B2C"/>
                <w:sz w:val="21"/>
                <w:lang w:eastAsia="ru-RU"/>
              </w:rPr>
              <w:t>1,0% (32,0 грн.);</w:t>
            </w:r>
          </w:p>
          <w:p w:rsidR="00FA5113" w:rsidRPr="00FA5113" w:rsidRDefault="00FA5113" w:rsidP="00FA5113">
            <w:pPr>
              <w:spacing w:after="100" w:afterAutospacing="1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FA5113">
              <w:rPr>
                <w:rFonts w:ascii="Arial" w:eastAsia="Times New Roman" w:hAnsi="Arial" w:cs="Arial"/>
                <w:b/>
                <w:bCs/>
                <w:color w:val="292B2C"/>
                <w:sz w:val="21"/>
                <w:lang w:eastAsia="ru-RU"/>
              </w:rPr>
              <w:t>серединна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color w:val="292B2C"/>
                <w:sz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b/>
                <w:bCs/>
                <w:color w:val="292B2C"/>
                <w:sz w:val="21"/>
                <w:lang w:eastAsia="ru-RU"/>
              </w:rPr>
              <w:t>частина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color w:val="292B2C"/>
                <w:sz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b/>
                <w:bCs/>
                <w:color w:val="292B2C"/>
                <w:sz w:val="21"/>
                <w:lang w:eastAsia="ru-RU"/>
              </w:rPr>
              <w:t>міста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 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обмежена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вулицями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: вул. В.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Бердичівська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вул. Вітрука, вул.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Вокзальна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майдан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Привокзальний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проспект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Незалежності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вул. Перемоги, через майдан Короленка, вул. Короленка,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пров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Набережний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вул.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Набережна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</w:t>
            </w:r>
            <w:proofErr w:type="gram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ічки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Кам’янка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вул.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Ольжича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вул.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Маяковського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вул.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Троянівська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Мальованська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Набережна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перехрестя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з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вул.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Чуднівська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  по берегу </w:t>
            </w:r>
            <w:proofErr w:type="spellStart"/>
            <w:proofErr w:type="gram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</w:t>
            </w:r>
            <w:proofErr w:type="gram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ічки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Тетерів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вул.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Робітнича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Жуйка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вул.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В.Бердичівська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Смолянський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майдан,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вул</w:t>
            </w:r>
            <w:proofErr w:type="gram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.С</w:t>
            </w:r>
            <w:proofErr w:type="gram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елецька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до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перехрестя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з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вул. Вітрука – </w:t>
            </w:r>
            <w:r w:rsidRPr="00FA5113">
              <w:rPr>
                <w:rFonts w:ascii="Arial" w:eastAsia="Times New Roman" w:hAnsi="Arial" w:cs="Arial"/>
                <w:b/>
                <w:bCs/>
                <w:color w:val="292B2C"/>
                <w:sz w:val="21"/>
                <w:lang w:eastAsia="ru-RU"/>
              </w:rPr>
              <w:t>0,75% (24,0 грн.);</w:t>
            </w:r>
          </w:p>
          <w:p w:rsidR="00FA5113" w:rsidRPr="00FA5113" w:rsidRDefault="00FA5113" w:rsidP="00FA5113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FA5113">
              <w:rPr>
                <w:rFonts w:ascii="Arial" w:eastAsia="Times New Roman" w:hAnsi="Arial" w:cs="Arial"/>
                <w:b/>
                <w:bCs/>
                <w:color w:val="292B2C"/>
                <w:sz w:val="21"/>
                <w:lang w:eastAsia="ru-RU"/>
              </w:rPr>
              <w:t>інші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color w:val="292B2C"/>
                <w:sz w:val="21"/>
                <w:lang w:eastAsia="ru-RU"/>
              </w:rPr>
              <w:t xml:space="preserve"> – 0,5% (16,0 грн.)</w:t>
            </w:r>
          </w:p>
        </w:tc>
      </w:tr>
      <w:tr w:rsidR="00FA5113" w:rsidRPr="00FA5113" w:rsidTr="00FA5113">
        <w:trPr>
          <w:trHeight w:val="855"/>
        </w:trPr>
        <w:tc>
          <w:tcPr>
            <w:tcW w:w="907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фізичні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 xml:space="preserve"> та </w:t>
            </w:r>
            <w:proofErr w:type="spellStart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юридичні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 xml:space="preserve"> особи за </w:t>
            </w:r>
            <w:proofErr w:type="spellStart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житлову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нерухомість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 xml:space="preserve"> –</w:t>
            </w:r>
          </w:p>
          <w:p w:rsidR="00FA5113" w:rsidRPr="00FA5113" w:rsidRDefault="00FA5113" w:rsidP="00FA511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 </w:t>
            </w:r>
            <w:proofErr w:type="spellStart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квартири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понад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 xml:space="preserve"> 300 кв. м та </w:t>
            </w:r>
            <w:proofErr w:type="spellStart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будинки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>понад</w:t>
            </w:r>
            <w:proofErr w:type="spellEnd"/>
            <w:r w:rsidRPr="00FA5113">
              <w:rPr>
                <w:rFonts w:ascii="Arial" w:eastAsia="Times New Roman" w:hAnsi="Arial" w:cs="Arial"/>
                <w:b/>
                <w:bCs/>
                <w:i/>
                <w:iCs/>
                <w:color w:val="292B2C"/>
                <w:sz w:val="21"/>
                <w:lang w:eastAsia="ru-RU"/>
              </w:rPr>
              <w:t xml:space="preserve"> 500 кв. м</w:t>
            </w:r>
          </w:p>
          <w:p w:rsidR="00FA5113" w:rsidRPr="00FA5113" w:rsidRDefault="00FA5113" w:rsidP="00FA5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25 000 грн. за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кожен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такий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об’єкт</w:t>
            </w:r>
            <w:proofErr w:type="spellEnd"/>
          </w:p>
        </w:tc>
      </w:tr>
    </w:tbl>
    <w:p w:rsidR="00FA5113" w:rsidRPr="00FA5113" w:rsidRDefault="00FA5113" w:rsidP="00FA51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1"/>
          <w:szCs w:val="21"/>
          <w:lang w:eastAsia="ru-RU"/>
        </w:rPr>
      </w:pPr>
      <w:r w:rsidRPr="00FA5113">
        <w:rPr>
          <w:rFonts w:ascii="Arial" w:eastAsia="Times New Roman" w:hAnsi="Arial" w:cs="Arial"/>
          <w:color w:val="292B2C"/>
          <w:sz w:val="21"/>
          <w:szCs w:val="21"/>
          <w:lang w:eastAsia="ru-RU"/>
        </w:rPr>
        <w:t> </w:t>
      </w:r>
    </w:p>
    <w:p w:rsidR="00FA5113" w:rsidRPr="00FA5113" w:rsidRDefault="00FA5113" w:rsidP="00FA51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1"/>
          <w:szCs w:val="21"/>
          <w:lang w:eastAsia="ru-RU"/>
        </w:rPr>
      </w:pPr>
      <w:r w:rsidRPr="00FA5113">
        <w:rPr>
          <w:rFonts w:ascii="Arial" w:eastAsia="Times New Roman" w:hAnsi="Arial" w:cs="Arial"/>
          <w:color w:val="292B2C"/>
          <w:sz w:val="21"/>
          <w:szCs w:val="21"/>
          <w:lang w:eastAsia="ru-RU"/>
        </w:rPr>
        <w:t> </w:t>
      </w:r>
    </w:p>
    <w:p w:rsidR="00FA5113" w:rsidRPr="00FA5113" w:rsidRDefault="00FA5113" w:rsidP="00FA51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1"/>
          <w:szCs w:val="21"/>
          <w:lang w:eastAsia="ru-RU"/>
        </w:rPr>
      </w:pPr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 xml:space="preserve">                             Ставки </w:t>
      </w:r>
      <w:proofErr w:type="gramStart"/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>земельного</w:t>
      </w:r>
      <w:proofErr w:type="gramEnd"/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 xml:space="preserve"> </w:t>
      </w:r>
      <w:proofErr w:type="spellStart"/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>податку</w:t>
      </w:r>
      <w:proofErr w:type="spellEnd"/>
    </w:p>
    <w:p w:rsidR="00FA5113" w:rsidRPr="00FA5113" w:rsidRDefault="00FA5113" w:rsidP="00FA51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1"/>
          <w:szCs w:val="21"/>
          <w:lang w:eastAsia="ru-RU"/>
        </w:rPr>
      </w:pPr>
      <w:r w:rsidRPr="00FA5113">
        <w:rPr>
          <w:rFonts w:ascii="Arial" w:eastAsia="Times New Roman" w:hAnsi="Arial" w:cs="Arial"/>
          <w:color w:val="292B2C"/>
          <w:sz w:val="21"/>
          <w:szCs w:val="21"/>
          <w:lang w:eastAsia="ru-RU"/>
        </w:rPr>
        <w:t> </w:t>
      </w:r>
    </w:p>
    <w:tbl>
      <w:tblPr>
        <w:tblW w:w="90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5"/>
      </w:tblGrid>
      <w:tr w:rsidR="00FA5113" w:rsidRPr="00FA5113" w:rsidTr="00FA5113">
        <w:trPr>
          <w:trHeight w:val="195"/>
        </w:trPr>
        <w:tc>
          <w:tcPr>
            <w:tcW w:w="907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Встановлено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з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розрахунку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календарний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</w:t>
            </w:r>
            <w:proofErr w:type="gram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ік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за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земельні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ділянки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нормативну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грошову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оцінку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яких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проведено</w:t>
            </w:r>
          </w:p>
        </w:tc>
      </w:tr>
      <w:tr w:rsidR="00FA5113" w:rsidRPr="00FA5113" w:rsidTr="00FA5113">
        <w:trPr>
          <w:trHeight w:val="765"/>
        </w:trPr>
        <w:tc>
          <w:tcPr>
            <w:tcW w:w="907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громадяни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міста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присадибні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ділянки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) – 0,03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відсотка</w:t>
            </w:r>
            <w:proofErr w:type="spellEnd"/>
          </w:p>
        </w:tc>
      </w:tr>
      <w:tr w:rsidR="00FA5113" w:rsidRPr="00FA5113" w:rsidTr="00FA5113">
        <w:trPr>
          <w:trHeight w:val="690"/>
        </w:trPr>
        <w:tc>
          <w:tcPr>
            <w:tcW w:w="907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lastRenderedPageBreak/>
              <w:t> 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інші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платники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інші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категорії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земель) – 1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відсоток</w:t>
            </w:r>
            <w:proofErr w:type="spellEnd"/>
          </w:p>
        </w:tc>
      </w:tr>
      <w:tr w:rsidR="00FA5113" w:rsidRPr="00FA5113" w:rsidTr="00FA5113">
        <w:trPr>
          <w:trHeight w:val="690"/>
        </w:trPr>
        <w:tc>
          <w:tcPr>
            <w:tcW w:w="907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гаражні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гаражно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будівельні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кооперативи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житлово-будівельні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житлові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кооперативи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об’єднання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співвласників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багатоквартирних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будинків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виробничі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житлово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ремонтно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експлуатаційні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</w:t>
            </w:r>
            <w:proofErr w:type="gram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ідприємства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міської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ради – 0,03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відсотка</w:t>
            </w:r>
            <w:proofErr w:type="spellEnd"/>
          </w:p>
        </w:tc>
      </w:tr>
      <w:tr w:rsidR="00FA5113" w:rsidRPr="00FA5113" w:rsidTr="00FA5113">
        <w:trPr>
          <w:trHeight w:val="690"/>
        </w:trPr>
        <w:tc>
          <w:tcPr>
            <w:tcW w:w="907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установи, </w:t>
            </w:r>
            <w:proofErr w:type="spellStart"/>
            <w:proofErr w:type="gram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</w:t>
            </w:r>
            <w:proofErr w:type="gram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ідприємства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організації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підпорядковані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Міністерству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оборони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України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які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надають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житлово-комунальні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послуги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землі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житлового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фонду) - 0,5відсотка</w:t>
            </w:r>
          </w:p>
        </w:tc>
      </w:tr>
    </w:tbl>
    <w:p w:rsidR="00FA5113" w:rsidRPr="00FA5113" w:rsidRDefault="00FA5113" w:rsidP="00FA511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1"/>
          <w:szCs w:val="21"/>
          <w:lang w:eastAsia="ru-RU"/>
        </w:rPr>
      </w:pPr>
      <w:r w:rsidRPr="00FA5113">
        <w:rPr>
          <w:rFonts w:ascii="Arial" w:eastAsia="Times New Roman" w:hAnsi="Arial" w:cs="Arial"/>
          <w:color w:val="292B2C"/>
          <w:sz w:val="21"/>
          <w:szCs w:val="21"/>
          <w:lang w:eastAsia="ru-RU"/>
        </w:rPr>
        <w:t> </w:t>
      </w:r>
    </w:p>
    <w:p w:rsidR="00FA5113" w:rsidRPr="00FA5113" w:rsidRDefault="00FA5113" w:rsidP="00FA511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1"/>
          <w:szCs w:val="21"/>
          <w:lang w:eastAsia="ru-RU"/>
        </w:rPr>
      </w:pPr>
      <w:r w:rsidRPr="00FA5113">
        <w:rPr>
          <w:rFonts w:ascii="Arial" w:eastAsia="Times New Roman" w:hAnsi="Arial" w:cs="Arial"/>
          <w:color w:val="292B2C"/>
          <w:sz w:val="21"/>
          <w:szCs w:val="21"/>
          <w:lang w:eastAsia="ru-RU"/>
        </w:rPr>
        <w:t> </w:t>
      </w:r>
    </w:p>
    <w:p w:rsidR="00FA5113" w:rsidRPr="00FA5113" w:rsidRDefault="00FA5113" w:rsidP="00FA511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1"/>
          <w:szCs w:val="21"/>
          <w:lang w:eastAsia="ru-RU"/>
        </w:rPr>
      </w:pPr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 xml:space="preserve">Ставки </w:t>
      </w:r>
      <w:proofErr w:type="spellStart"/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>єдиного</w:t>
      </w:r>
      <w:proofErr w:type="spellEnd"/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 xml:space="preserve"> </w:t>
      </w:r>
      <w:proofErr w:type="spellStart"/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>податку</w:t>
      </w:r>
      <w:proofErr w:type="spellEnd"/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 xml:space="preserve"> у 2017 </w:t>
      </w:r>
      <w:proofErr w:type="spellStart"/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>році</w:t>
      </w:r>
      <w:proofErr w:type="spellEnd"/>
    </w:p>
    <w:p w:rsidR="00FA5113" w:rsidRPr="00FA5113" w:rsidRDefault="00FA5113" w:rsidP="00FA511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1"/>
          <w:szCs w:val="21"/>
          <w:lang w:eastAsia="ru-RU"/>
        </w:rPr>
      </w:pPr>
      <w:r w:rsidRPr="00FA5113">
        <w:rPr>
          <w:rFonts w:ascii="Arial" w:eastAsia="Times New Roman" w:hAnsi="Arial" w:cs="Arial"/>
          <w:color w:val="292B2C"/>
          <w:sz w:val="21"/>
          <w:szCs w:val="21"/>
          <w:lang w:eastAsia="ru-RU"/>
        </w:rPr>
        <w:t> </w:t>
      </w:r>
    </w:p>
    <w:tbl>
      <w:tblPr>
        <w:tblW w:w="99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2"/>
        <w:gridCol w:w="3473"/>
        <w:gridCol w:w="3756"/>
      </w:tblGrid>
      <w:tr w:rsidR="00FA5113" w:rsidRPr="00FA5113" w:rsidTr="00FA5113">
        <w:trPr>
          <w:trHeight w:val="756"/>
        </w:trPr>
        <w:tc>
          <w:tcPr>
            <w:tcW w:w="270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І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група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10%  до прож.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мін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.  - 160,0 грн.</w:t>
            </w:r>
          </w:p>
          <w:p w:rsidR="00FA5113" w:rsidRPr="00FA5113" w:rsidRDefault="00FA5113" w:rsidP="00FA5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 </w:t>
            </w:r>
          </w:p>
        </w:tc>
      </w:tr>
      <w:tr w:rsidR="00FA5113" w:rsidRPr="00FA5113" w:rsidTr="00FA5113">
        <w:trPr>
          <w:trHeight w:val="756"/>
        </w:trPr>
        <w:tc>
          <w:tcPr>
            <w:tcW w:w="2702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ІІ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група</w:t>
            </w:r>
            <w:proofErr w:type="spellEnd"/>
          </w:p>
          <w:p w:rsidR="00FA5113" w:rsidRPr="00FA5113" w:rsidRDefault="00FA5113" w:rsidP="00FA5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229" w:type="dxa"/>
            <w:gridSpan w:val="2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20%  до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мін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з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/</w:t>
            </w:r>
            <w:proofErr w:type="spellStart"/>
            <w:proofErr w:type="gram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  - 640,0 грн.</w:t>
            </w:r>
          </w:p>
        </w:tc>
      </w:tr>
      <w:tr w:rsidR="00FA5113" w:rsidRPr="00FA5113" w:rsidTr="00FA5113">
        <w:trPr>
          <w:trHeight w:val="830"/>
        </w:trPr>
        <w:tc>
          <w:tcPr>
            <w:tcW w:w="2702" w:type="dxa"/>
            <w:vMerge w:val="restar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 </w:t>
            </w:r>
          </w:p>
          <w:p w:rsidR="00FA5113" w:rsidRPr="00FA5113" w:rsidRDefault="00FA5113" w:rsidP="00FA5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ІІІ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група</w:t>
            </w:r>
            <w:proofErr w:type="spellEnd"/>
          </w:p>
        </w:tc>
        <w:tc>
          <w:tcPr>
            <w:tcW w:w="34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при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сплаті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ПДВ</w:t>
            </w:r>
          </w:p>
          <w:p w:rsidR="00FA5113" w:rsidRPr="00FA5113" w:rsidRDefault="00FA5113" w:rsidP="00FA5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3 % доходу</w:t>
            </w:r>
          </w:p>
        </w:tc>
      </w:tr>
      <w:tr w:rsidR="00FA5113" w:rsidRPr="00FA5113" w:rsidTr="00FA5113">
        <w:trPr>
          <w:trHeight w:val="142"/>
        </w:trPr>
        <w:tc>
          <w:tcPr>
            <w:tcW w:w="2702" w:type="dxa"/>
            <w:vMerge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FA5113" w:rsidRPr="00FA5113" w:rsidRDefault="00FA5113" w:rsidP="00FA5113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</w:p>
        </w:tc>
        <w:tc>
          <w:tcPr>
            <w:tcW w:w="3473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при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включенні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ПДВ </w:t>
            </w:r>
            <w:proofErr w:type="gram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до</w:t>
            </w:r>
            <w:proofErr w:type="gram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складу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єдиного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податку</w:t>
            </w:r>
            <w:proofErr w:type="spellEnd"/>
          </w:p>
          <w:p w:rsidR="00FA5113" w:rsidRPr="00FA5113" w:rsidRDefault="00FA5113" w:rsidP="00FA5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5 % доходу</w:t>
            </w:r>
          </w:p>
        </w:tc>
      </w:tr>
    </w:tbl>
    <w:p w:rsidR="00FA5113" w:rsidRPr="00FA5113" w:rsidRDefault="00FA5113" w:rsidP="00FA511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1"/>
          <w:szCs w:val="21"/>
          <w:lang w:eastAsia="ru-RU"/>
        </w:rPr>
      </w:pPr>
      <w:r w:rsidRPr="00FA5113">
        <w:rPr>
          <w:rFonts w:ascii="Arial" w:eastAsia="Times New Roman" w:hAnsi="Arial" w:cs="Arial"/>
          <w:color w:val="292B2C"/>
          <w:sz w:val="21"/>
          <w:szCs w:val="21"/>
          <w:lang w:eastAsia="ru-RU"/>
        </w:rPr>
        <w:t> </w:t>
      </w:r>
    </w:p>
    <w:p w:rsidR="00FA5113" w:rsidRPr="00FA5113" w:rsidRDefault="00FA5113" w:rsidP="00FA511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1"/>
          <w:szCs w:val="21"/>
          <w:lang w:eastAsia="ru-RU"/>
        </w:rPr>
      </w:pPr>
      <w:r w:rsidRPr="00FA5113">
        <w:rPr>
          <w:rFonts w:ascii="Arial" w:eastAsia="Times New Roman" w:hAnsi="Arial" w:cs="Arial"/>
          <w:color w:val="292B2C"/>
          <w:sz w:val="21"/>
          <w:szCs w:val="21"/>
          <w:lang w:eastAsia="ru-RU"/>
        </w:rPr>
        <w:t> </w:t>
      </w:r>
    </w:p>
    <w:p w:rsidR="00FA5113" w:rsidRPr="00FA5113" w:rsidRDefault="00FA5113" w:rsidP="00FA511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1"/>
          <w:szCs w:val="21"/>
          <w:lang w:eastAsia="ru-RU"/>
        </w:rPr>
      </w:pPr>
      <w:r w:rsidRPr="00FA5113">
        <w:rPr>
          <w:rFonts w:ascii="Arial" w:eastAsia="Times New Roman" w:hAnsi="Arial" w:cs="Arial"/>
          <w:color w:val="292B2C"/>
          <w:sz w:val="21"/>
          <w:szCs w:val="21"/>
          <w:lang w:eastAsia="ru-RU"/>
        </w:rPr>
        <w:t> </w:t>
      </w:r>
    </w:p>
    <w:p w:rsidR="00FA5113" w:rsidRPr="00FA5113" w:rsidRDefault="00FA5113" w:rsidP="00FA511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1"/>
          <w:szCs w:val="21"/>
          <w:lang w:eastAsia="ru-RU"/>
        </w:rPr>
      </w:pPr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 xml:space="preserve">Ставка транспортного </w:t>
      </w:r>
      <w:proofErr w:type="spellStart"/>
      <w:r w:rsidRPr="00FA5113">
        <w:rPr>
          <w:rFonts w:ascii="Arial" w:eastAsia="Times New Roman" w:hAnsi="Arial" w:cs="Arial"/>
          <w:b/>
          <w:bCs/>
          <w:color w:val="292B2C"/>
          <w:sz w:val="21"/>
          <w:lang w:eastAsia="ru-RU"/>
        </w:rPr>
        <w:t>податку</w:t>
      </w:r>
      <w:proofErr w:type="spellEnd"/>
    </w:p>
    <w:p w:rsidR="00FA5113" w:rsidRPr="00FA5113" w:rsidRDefault="00FA5113" w:rsidP="00FA511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1"/>
          <w:szCs w:val="21"/>
          <w:lang w:eastAsia="ru-RU"/>
        </w:rPr>
      </w:pPr>
      <w:r w:rsidRPr="00FA5113">
        <w:rPr>
          <w:rFonts w:ascii="Arial" w:eastAsia="Times New Roman" w:hAnsi="Arial" w:cs="Arial"/>
          <w:color w:val="292B2C"/>
          <w:sz w:val="21"/>
          <w:szCs w:val="21"/>
          <w:lang w:eastAsia="ru-RU"/>
        </w:rPr>
        <w:t> 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25"/>
      </w:tblGrid>
      <w:tr w:rsidR="00FA5113" w:rsidRPr="00FA5113" w:rsidTr="00FA5113">
        <w:trPr>
          <w:trHeight w:val="195"/>
        </w:trPr>
        <w:tc>
          <w:tcPr>
            <w:tcW w:w="92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Встановлено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з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розрахунку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на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календарний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</w:t>
            </w:r>
            <w:proofErr w:type="gram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ік</w:t>
            </w:r>
            <w:proofErr w:type="spellEnd"/>
          </w:p>
        </w:tc>
      </w:tr>
      <w:tr w:rsidR="00FA5113" w:rsidRPr="00FA5113" w:rsidTr="00FA5113">
        <w:trPr>
          <w:trHeight w:val="1170"/>
        </w:trPr>
        <w:tc>
          <w:tcPr>
            <w:tcW w:w="92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A5113" w:rsidRPr="00FA5113" w:rsidRDefault="00FA5113" w:rsidP="00FA5113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</w:pPr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за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кожен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легковий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автомобіль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що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є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об'єктом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оподаткування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- у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розмі</w:t>
            </w:r>
            <w:proofErr w:type="gram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р</w:t>
            </w:r>
            <w:proofErr w:type="gram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і</w:t>
            </w:r>
            <w:proofErr w:type="spellEnd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 xml:space="preserve"> 25 000 </w:t>
            </w:r>
            <w:proofErr w:type="spellStart"/>
            <w:r w:rsidRPr="00FA5113">
              <w:rPr>
                <w:rFonts w:ascii="Arial" w:eastAsia="Times New Roman" w:hAnsi="Arial" w:cs="Arial"/>
                <w:color w:val="292B2C"/>
                <w:sz w:val="21"/>
                <w:szCs w:val="21"/>
                <w:lang w:eastAsia="ru-RU"/>
              </w:rPr>
              <w:t>гривень</w:t>
            </w:r>
            <w:proofErr w:type="spellEnd"/>
          </w:p>
        </w:tc>
      </w:tr>
    </w:tbl>
    <w:p w:rsidR="004C2570" w:rsidRDefault="00FA5113"/>
    <w:sectPr w:rsidR="004C2570" w:rsidSect="00FA511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113"/>
    <w:rsid w:val="002A6A02"/>
    <w:rsid w:val="006E7B84"/>
    <w:rsid w:val="00D1669C"/>
    <w:rsid w:val="00FA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113"/>
    <w:rPr>
      <w:b/>
      <w:bCs/>
    </w:rPr>
  </w:style>
  <w:style w:type="character" w:styleId="a5">
    <w:name w:val="Emphasis"/>
    <w:basedOn w:val="a0"/>
    <w:uiPriority w:val="20"/>
    <w:qFormat/>
    <w:rsid w:val="00FA51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2020-05-18T08:05:00Z</dcterms:created>
  <dcterms:modified xsi:type="dcterms:W3CDTF">2020-05-18T08:07:00Z</dcterms:modified>
</cp:coreProperties>
</file>