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contextualSpacing/>
        <w:jc w:val="center"/>
        <w:rPr>
          <w:rFonts w:ascii="Times New Roman" w:hAnsi="Times New Roman"/>
          <w:b/>
          <w:sz w:val="28"/>
          <w:szCs w:val="24"/>
          <w:lang w:val="uk-UA"/>
        </w:rPr>
      </w:pPr>
    </w:p>
    <w:p>
      <w:pPr>
        <w:spacing w:after="0"/>
        <w:contextualSpacing/>
        <w:jc w:val="center"/>
        <w:rPr>
          <w:rFonts w:ascii="Times New Roman" w:hAnsi="Times New Roman"/>
          <w:b/>
          <w:sz w:val="28"/>
          <w:szCs w:val="24"/>
          <w:lang w:val="uk-UA"/>
        </w:rPr>
      </w:pPr>
      <w:r>
        <w:rPr>
          <w:rFonts w:ascii="Times New Roman" w:hAnsi="Times New Roman"/>
          <w:b/>
          <w:sz w:val="28"/>
          <w:szCs w:val="24"/>
          <w:lang w:val="uk-UA"/>
        </w:rPr>
        <w:t>ЗВІТ</w:t>
      </w:r>
    </w:p>
    <w:p>
      <w:pPr>
        <w:spacing w:after="0"/>
        <w:contextualSpacing/>
        <w:jc w:val="center"/>
        <w:rPr>
          <w:rFonts w:ascii="Times New Roman" w:hAnsi="Times New Roman"/>
          <w:sz w:val="28"/>
          <w:szCs w:val="24"/>
          <w:lang w:val="uk-UA"/>
        </w:rPr>
      </w:pPr>
      <w:r>
        <w:rPr>
          <w:rFonts w:ascii="Times New Roman" w:hAnsi="Times New Roman"/>
          <w:sz w:val="28"/>
          <w:szCs w:val="24"/>
          <w:lang w:val="uk-UA"/>
        </w:rPr>
        <w:t xml:space="preserve">депутатки Житомирської міської ради </w:t>
      </w:r>
      <w:r>
        <w:rPr>
          <w:rFonts w:ascii="Times New Roman" w:hAnsi="Times New Roman"/>
          <w:bCs/>
          <w:sz w:val="28"/>
          <w:szCs w:val="24"/>
          <w:lang w:val="uk-UA"/>
        </w:rPr>
        <w:t>VIII скликання</w:t>
      </w:r>
      <w:r>
        <w:rPr>
          <w:rFonts w:ascii="Times New Roman" w:hAnsi="Times New Roman"/>
          <w:sz w:val="28"/>
          <w:szCs w:val="24"/>
          <w:lang w:val="uk-UA"/>
        </w:rPr>
        <w:t xml:space="preserve"> </w:t>
      </w:r>
    </w:p>
    <w:p>
      <w:pPr>
        <w:spacing w:after="0"/>
        <w:contextualSpacing/>
        <w:jc w:val="center"/>
        <w:rPr>
          <w:rFonts w:ascii="Times New Roman" w:hAnsi="Times New Roman"/>
          <w:sz w:val="28"/>
          <w:szCs w:val="24"/>
          <w:lang w:val="uk-UA"/>
        </w:rPr>
      </w:pPr>
      <w:r>
        <w:rPr>
          <w:rFonts w:ascii="Times New Roman" w:hAnsi="Times New Roman"/>
          <w:sz w:val="28"/>
          <w:szCs w:val="24"/>
          <w:lang w:val="uk-UA"/>
        </w:rPr>
        <w:t>Оксани ЖУРАВСЬКОЇ</w:t>
      </w:r>
    </w:p>
    <w:p>
      <w:pPr>
        <w:spacing w:after="0"/>
        <w:contextualSpacing/>
        <w:jc w:val="center"/>
        <w:rPr>
          <w:rFonts w:ascii="Times New Roman" w:hAnsi="Times New Roman"/>
          <w:sz w:val="28"/>
          <w:szCs w:val="24"/>
          <w:lang w:val="uk-UA"/>
        </w:rPr>
      </w:pPr>
      <w:r>
        <w:rPr>
          <w:rFonts w:ascii="Times New Roman" w:hAnsi="Times New Roman"/>
          <w:sz w:val="28"/>
          <w:szCs w:val="24"/>
          <w:lang w:val="uk-UA"/>
        </w:rPr>
        <w:t>про діяльність за 2022 рік</w:t>
      </w:r>
    </w:p>
    <w:p>
      <w:pPr>
        <w:spacing w:after="0"/>
        <w:contextualSpacing/>
        <w:jc w:val="center"/>
        <w:rPr>
          <w:rFonts w:ascii="Times New Roman" w:hAnsi="Times New Roman"/>
          <w:sz w:val="24"/>
          <w:szCs w:val="24"/>
          <w:lang w:val="uk-UA"/>
        </w:rPr>
      </w:pPr>
    </w:p>
    <w:p>
      <w:pPr>
        <w:spacing w:after="0"/>
        <w:contextualSpacing/>
        <w:jc w:val="center"/>
        <w:rPr>
          <w:rFonts w:ascii="Times New Roman" w:hAnsi="Times New Roman"/>
          <w:sz w:val="24"/>
          <w:szCs w:val="24"/>
          <w:lang w:val="uk-UA"/>
        </w:rPr>
      </w:pPr>
    </w:p>
    <w:p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За звітний період була присутня на всіх пленарних засіданнях сесій Житомирської міської ради. Взяла участь у всіх засіданнях постійної депутатської комісії із соціально-гуманітарних питань. </w:t>
      </w:r>
    </w:p>
    <w:p>
      <w:pPr>
        <w:spacing w:after="0"/>
        <w:ind w:firstLine="709"/>
        <w:contextualSpacing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eastAsia="ru-RU"/>
        </w:rPr>
        <w:drawing>
          <wp:inline distT="0" distB="0" distL="0" distR="0">
            <wp:extent cx="4581525" cy="3054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844" cy="305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firstLine="709"/>
        <w:contextualSpacing/>
        <w:jc w:val="center"/>
        <w:rPr>
          <w:rFonts w:ascii="Times New Roman" w:hAnsi="Times New Roman"/>
          <w:sz w:val="24"/>
          <w:szCs w:val="24"/>
          <w:lang w:val="uk-UA"/>
        </w:rPr>
      </w:pPr>
    </w:p>
    <w:p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Для потреб виборчого округу №1 витрачено усі кошти на матеріальну допомогу мешканцям міста.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За рахунок коштів передбачених в бюджеті на забезпечення потреб виборчого округу, у зв’язку з важким матеріальним становищем виборців та військовим станом в країні, було надано матеріальні допомоги громадянам  на дороговартісне лікування, проведення операцій, придбання ліків та реабілітаційне лікування  військових.</w:t>
      </w:r>
    </w:p>
    <w:p>
      <w:pPr>
        <w:spacing w:after="0"/>
        <w:ind w:firstLine="709"/>
        <w:contextualSpacing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eastAsia="ru-RU"/>
        </w:rPr>
        <w:drawing>
          <wp:inline distT="0" distB="0" distL="0" distR="0">
            <wp:extent cx="3381375" cy="2657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125" cy="26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firstLine="709"/>
        <w:contextualSpacing/>
        <w:jc w:val="center"/>
        <w:rPr>
          <w:rFonts w:ascii="Times New Roman" w:hAnsi="Times New Roman"/>
          <w:sz w:val="24"/>
          <w:szCs w:val="24"/>
          <w:lang w:val="uk-UA"/>
        </w:rPr>
      </w:pPr>
    </w:p>
    <w:p>
      <w:pPr>
        <w:spacing w:after="0"/>
        <w:ind w:firstLine="709"/>
        <w:contextualSpacing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eastAsia="ru-RU"/>
        </w:rPr>
        <w:drawing>
          <wp:inline distT="0" distB="0" distL="0" distR="0">
            <wp:extent cx="3724275" cy="44704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624" cy="447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firstLine="709"/>
        <w:contextualSpacing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eastAsia="ru-RU"/>
        </w:rPr>
        <w:drawing>
          <wp:inline distT="0" distB="0" distL="0" distR="0">
            <wp:extent cx="3676650" cy="4000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709" cy="401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firstLine="709"/>
        <w:contextualSpacing/>
        <w:jc w:val="center"/>
        <w:rPr>
          <w:rFonts w:ascii="Times New Roman" w:hAnsi="Times New Roman"/>
          <w:sz w:val="24"/>
          <w:szCs w:val="24"/>
          <w:lang w:val="uk-UA"/>
        </w:rPr>
      </w:pPr>
    </w:p>
    <w:p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Брала участь у роботі наглядових рад </w:t>
      </w:r>
      <w:r>
        <w:rPr>
          <w:rFonts w:hint="default" w:ascii="Times New Roman" w:hAnsi="Times New Roman"/>
          <w:sz w:val="24"/>
          <w:szCs w:val="24"/>
          <w:lang w:val="uk-UA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4"/>
          <w:szCs w:val="24"/>
          <w:lang w:val="uk-UA"/>
        </w:rPr>
        <w:t>КП «Зеленбуд»</w:t>
      </w:r>
    </w:p>
    <w:p>
      <w:pPr>
        <w:suppressAutoHyphens/>
        <w:autoSpaceDN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У перші місяці від початку повномасштабного вторгнення долучалася до функціонування Волонтерського штабу Житомира. Член делегації візиту депутатів до міста Битома (місто побратим м.Житомира, Республіка Польща).</w:t>
      </w:r>
      <w:r>
        <w:rPr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За підтримки друзів з Польщі було передано турнікетів на 120 тисяч грн та понад 200 кровоспинних пов'язок Celox Rapid.</w:t>
      </w:r>
    </w:p>
    <w:p>
      <w:pPr>
        <w:suppressAutoHyphens/>
        <w:autoSpaceDN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</w:p>
    <w:p>
      <w:pPr>
        <w:ind w:firstLine="708"/>
        <w:jc w:val="both"/>
        <w:rPr>
          <w:rFonts w:ascii="Times New Roman" w:hAnsi="Times New Roman"/>
          <w:color w:val="050505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color w:val="050505"/>
          <w:sz w:val="24"/>
          <w:szCs w:val="24"/>
          <w:shd w:val="clear" w:color="auto" w:fill="FFFFFF"/>
          <w:lang w:val="uk-UA"/>
        </w:rPr>
        <w:t>Активно брала участь у загальноміських заходах, приурочених до Дня Незалежності України.</w:t>
      </w:r>
    </w:p>
    <w:p>
      <w:pPr>
        <w:spacing w:after="0"/>
        <w:ind w:firstLine="567"/>
        <w:contextualSpacing/>
        <w:jc w:val="both"/>
        <w:rPr>
          <w:rFonts w:ascii="Century Gothic" w:hAnsi="Century Gothic"/>
          <w:sz w:val="24"/>
          <w:szCs w:val="24"/>
          <w:lang w:val="uk-UA"/>
        </w:rPr>
      </w:pPr>
    </w:p>
    <w:p>
      <w:pPr>
        <w:spacing w:after="0"/>
        <w:contextualSpacing/>
        <w:jc w:val="both"/>
        <w:rPr>
          <w:rFonts w:ascii="Century Gothic" w:hAnsi="Century Gothic"/>
          <w:sz w:val="24"/>
          <w:szCs w:val="24"/>
          <w:lang w:val="uk-UA"/>
        </w:rPr>
      </w:pPr>
      <w:r>
        <w:rPr>
          <w:rFonts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5895975" cy="3873500"/>
            <wp:effectExtent l="0" t="0" r="0" b="0"/>
            <wp:docPr id="10" name="Рисунок 10" descr="D:\Оля\Депутат\301327033_1618196098582065_91534642656570621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D:\Оля\Депутат\301327033_1618196098582065_915346426565706211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6513" cy="388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contextualSpacing/>
        <w:jc w:val="center"/>
        <w:rPr>
          <w:rFonts w:ascii="Century Gothic" w:hAnsi="Century Gothic"/>
          <w:sz w:val="24"/>
          <w:szCs w:val="24"/>
          <w:lang w:val="uk-UA" w:eastAsia="ru-RU"/>
        </w:rPr>
      </w:pPr>
    </w:p>
    <w:p>
      <w:pPr>
        <w:suppressAutoHyphens/>
        <w:autoSpaceDN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Брала  участь у акції «Українську книгу – вільній землі»</w:t>
      </w:r>
    </w:p>
    <w:p>
      <w:pPr>
        <w:suppressAutoHyphens/>
        <w:autoSpaceDN w:val="0"/>
        <w:spacing w:after="0"/>
        <w:ind w:firstLine="709"/>
        <w:contextualSpacing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Century Gothic" w:hAnsi="Century Gothic"/>
          <w:sz w:val="24"/>
          <w:szCs w:val="24"/>
          <w:lang w:eastAsia="ru-RU"/>
        </w:rPr>
        <w:drawing>
          <wp:inline distT="0" distB="0" distL="0" distR="0">
            <wp:extent cx="4981575" cy="29768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863" cy="298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uppressAutoHyphens/>
        <w:autoSpaceDN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</w:p>
    <w:p>
      <w:pPr>
        <w:suppressAutoHyphens/>
        <w:autoSpaceDN w:val="0"/>
        <w:spacing w:after="0"/>
        <w:ind w:firstLine="709"/>
        <w:contextualSpacing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Century Gothic" w:hAnsi="Century Gothic"/>
          <w:sz w:val="24"/>
          <w:szCs w:val="24"/>
          <w:lang w:eastAsia="ru-RU"/>
        </w:rPr>
        <w:drawing>
          <wp:inline distT="0" distB="0" distL="0" distR="0">
            <wp:extent cx="4486275" cy="41148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602" cy="411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contextualSpacing/>
        <w:jc w:val="center"/>
        <w:rPr>
          <w:rFonts w:ascii="Century Gothic" w:hAnsi="Century Gothic"/>
          <w:sz w:val="24"/>
          <w:szCs w:val="24"/>
          <w:lang w:val="uk-UA" w:eastAsia="ru-RU"/>
        </w:rPr>
      </w:pPr>
      <w:r>
        <w:rPr>
          <w:rFonts w:ascii="Century Gothic" w:hAnsi="Century Gothic"/>
          <w:sz w:val="24"/>
          <w:szCs w:val="24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contextualSpacing/>
        <w:jc w:val="both"/>
        <w:rPr>
          <w:rFonts w:ascii="Century Gothic" w:hAnsi="Century Gothic"/>
          <w:sz w:val="24"/>
          <w:szCs w:val="24"/>
          <w:lang w:val="uk-UA"/>
        </w:rPr>
      </w:pPr>
      <w:r>
        <w:rPr>
          <w:rFonts w:ascii="Century Gothic" w:hAnsi="Century Gothic"/>
          <w:sz w:val="24"/>
          <w:szCs w:val="24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contextualSpacing/>
        <w:jc w:val="both"/>
        <w:rPr>
          <w:rFonts w:ascii="Century Gothic" w:hAnsi="Century Gothic"/>
          <w:sz w:val="24"/>
          <w:szCs w:val="24"/>
          <w:lang w:val="uk-UA"/>
        </w:rPr>
      </w:pPr>
    </w:p>
    <w:p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У львівській майстерні шоколаду сортували та відправляли волонтерську допомогу.</w:t>
      </w:r>
    </w:p>
    <w:p>
      <w:pPr>
        <w:spacing w:after="0"/>
        <w:contextualSpacing/>
        <w:jc w:val="center"/>
        <w:rPr>
          <w:rFonts w:ascii="Century Gothic" w:hAnsi="Century Gothic"/>
          <w:sz w:val="24"/>
          <w:szCs w:val="24"/>
          <w:lang w:val="uk-UA"/>
        </w:rPr>
      </w:pPr>
      <w:r>
        <w:rPr>
          <w:rFonts w:ascii="Century Gothic" w:hAnsi="Century Gothic"/>
          <w:sz w:val="24"/>
          <w:szCs w:val="24"/>
          <w:lang w:eastAsia="ru-RU"/>
        </w:rPr>
        <w:drawing>
          <wp:inline distT="0" distB="0" distL="0" distR="0">
            <wp:extent cx="3448050" cy="4000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986" cy="400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contextualSpacing/>
        <w:jc w:val="center"/>
        <w:rPr>
          <w:rFonts w:ascii="Century Gothic" w:hAnsi="Century Gothic"/>
          <w:sz w:val="24"/>
          <w:szCs w:val="24"/>
          <w:lang w:val="uk-UA"/>
        </w:rPr>
      </w:pPr>
    </w:p>
    <w:p>
      <w:pPr>
        <w:spacing w:after="0"/>
        <w:contextualSpacing/>
        <w:jc w:val="both"/>
        <w:rPr>
          <w:rFonts w:ascii="Century Gothic" w:hAnsi="Century Gothic"/>
          <w:sz w:val="24"/>
          <w:szCs w:val="24"/>
          <w:lang w:val="uk-UA"/>
        </w:rPr>
      </w:pPr>
    </w:p>
    <w:p>
      <w:pPr>
        <w:spacing w:after="0"/>
        <w:contextualSpacing/>
        <w:jc w:val="both"/>
        <w:rPr>
          <w:rFonts w:ascii="Century Gothic" w:hAnsi="Century Gothic"/>
          <w:sz w:val="24"/>
          <w:szCs w:val="24"/>
          <w:lang w:val="uk-UA"/>
        </w:rPr>
      </w:pPr>
      <w:r>
        <w:rPr>
          <w:lang w:eastAsia="ru-RU"/>
        </w:rPr>
        <w:drawing>
          <wp:inline distT="0" distB="0" distL="0" distR="0">
            <wp:extent cx="5939790" cy="2704465"/>
            <wp:effectExtent l="0" t="0" r="381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6"/>
                    <a:srcRect l="11213" t="26316" r="11682" b="1190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04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1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entury Gothic">
    <w:panose1 w:val="020B0502020202020204"/>
    <w:charset w:val="CC"/>
    <w:family w:val="swiss"/>
    <w:pitch w:val="default"/>
    <w:sig w:usb0="00000287" w:usb1="000000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C6A"/>
    <w:rsid w:val="00014E6E"/>
    <w:rsid w:val="00050DBB"/>
    <w:rsid w:val="00156D12"/>
    <w:rsid w:val="00162E0C"/>
    <w:rsid w:val="001A3AAD"/>
    <w:rsid w:val="001A68CB"/>
    <w:rsid w:val="0023088F"/>
    <w:rsid w:val="00241F34"/>
    <w:rsid w:val="002E2FFF"/>
    <w:rsid w:val="00382219"/>
    <w:rsid w:val="003E7778"/>
    <w:rsid w:val="004A45BB"/>
    <w:rsid w:val="004B0C5F"/>
    <w:rsid w:val="005C250E"/>
    <w:rsid w:val="005C3279"/>
    <w:rsid w:val="007136E6"/>
    <w:rsid w:val="00744C7C"/>
    <w:rsid w:val="00746CD7"/>
    <w:rsid w:val="007513AE"/>
    <w:rsid w:val="008727FC"/>
    <w:rsid w:val="008849C8"/>
    <w:rsid w:val="008B0BE4"/>
    <w:rsid w:val="00937CD0"/>
    <w:rsid w:val="00A970B4"/>
    <w:rsid w:val="00AC4E11"/>
    <w:rsid w:val="00B12D43"/>
    <w:rsid w:val="00B46C21"/>
    <w:rsid w:val="00B46C6A"/>
    <w:rsid w:val="00B70A23"/>
    <w:rsid w:val="00B85CE5"/>
    <w:rsid w:val="00BD1996"/>
    <w:rsid w:val="00C10A4B"/>
    <w:rsid w:val="00C673E0"/>
    <w:rsid w:val="00D62D9C"/>
    <w:rsid w:val="00D7676C"/>
    <w:rsid w:val="00E24162"/>
    <w:rsid w:val="00E55BA5"/>
    <w:rsid w:val="00EE46C9"/>
    <w:rsid w:val="00F04C9C"/>
    <w:rsid w:val="00F834C3"/>
    <w:rsid w:val="00FA5BAC"/>
    <w:rsid w:val="00FB4B72"/>
    <w:rsid w:val="00FE138F"/>
    <w:rsid w:val="092016BA"/>
    <w:rsid w:val="1C147CF7"/>
    <w:rsid w:val="2F101B7F"/>
    <w:rsid w:val="50704772"/>
    <w:rsid w:val="7733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000FF"/>
      <w:u w:val="single"/>
    </w:rPr>
  </w:style>
  <w:style w:type="paragraph" w:styleId="5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6">
    <w:name w:val="Table Grid"/>
    <w:basedOn w:val="3"/>
    <w:uiPriority w:val="59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apple-converted-space"/>
    <w:basedOn w:val="2"/>
    <w:uiPriority w:val="0"/>
  </w:style>
  <w:style w:type="character" w:customStyle="1" w:styleId="9">
    <w:name w:val="Unresolved Mention"/>
    <w:basedOn w:val="2"/>
    <w:semiHidden/>
    <w:unhideWhenUsed/>
    <w:uiPriority w:val="99"/>
    <w:rPr>
      <w:color w:val="605E5C"/>
      <w:shd w:val="clear" w:color="auto" w:fill="E1DFDD"/>
    </w:rPr>
  </w:style>
  <w:style w:type="character" w:customStyle="1" w:styleId="10">
    <w:name w:val="Текст выноски Знак"/>
    <w:basedOn w:val="2"/>
    <w:link w:val="5"/>
    <w:semiHidden/>
    <w:uiPriority w:val="99"/>
    <w:rPr>
      <w:rFonts w:ascii="Tahoma" w:hAnsi="Tahoma" w:eastAsia="Calibri" w:cs="Tahoma"/>
      <w:sz w:val="16"/>
      <w:szCs w:val="16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6</Pages>
  <Words>201</Words>
  <Characters>1146</Characters>
  <Lines>9</Lines>
  <Paragraphs>2</Paragraphs>
  <TotalTime>255</TotalTime>
  <ScaleCrop>false</ScaleCrop>
  <LinksUpToDate>false</LinksUpToDate>
  <CharactersWithSpaces>1345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2023-02-02T12:11:00Z</dcterms:created>
  <dc:creator>Катерина Молодецька</dc:creator>
  <cp:lastModifiedBy>Админ</cp:lastModifiedBy>
  <dcterms:modified xsi:type="dcterms:W3CDTF">2023-07-13T08:56:36Z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456035EAFBBD469780A6FCA780678654</vt:lpwstr>
  </property>
</Properties>
</file>